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5AC41E">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8</w:t>
      </w:r>
      <w:r>
        <w:rPr>
          <w:b/>
          <w:sz w:val="24"/>
        </w:rPr>
        <w:tab/>
      </w:r>
      <w:r>
        <w:rPr>
          <w:rFonts w:hint="eastAsia"/>
          <w:b/>
          <w:sz w:val="24"/>
          <w:highlight w:val="none"/>
        </w:rPr>
        <w:t>RP-251376</w:t>
      </w:r>
    </w:p>
    <w:p w14:paraId="57FCDDF2">
      <w:pPr>
        <w:pStyle w:val="104"/>
        <w:tabs>
          <w:tab w:val="right" w:pos="9639"/>
        </w:tabs>
        <w:spacing w:after="0"/>
        <w:rPr>
          <w:b/>
          <w:sz w:val="24"/>
        </w:rPr>
      </w:pPr>
      <w:r>
        <w:rPr>
          <w:rFonts w:hint="eastAsia"/>
          <w:b/>
          <w:sz w:val="24"/>
          <w:lang w:val="en-US" w:eastAsia="zh-CN"/>
        </w:rPr>
        <w:t>Prague, CZ</w:t>
      </w:r>
      <w:r>
        <w:rPr>
          <w:rFonts w:hint="eastAsia"/>
          <w:b/>
          <w:sz w:val="24"/>
          <w:lang w:val="en-US"/>
        </w:rPr>
        <w:t xml:space="preserve">, </w:t>
      </w:r>
      <w:r>
        <w:rPr>
          <w:rFonts w:hint="eastAsia"/>
          <w:b/>
          <w:sz w:val="24"/>
          <w:lang w:val="en-US" w:eastAsia="zh-CN"/>
        </w:rPr>
        <w:t>9th June 2025 - 13th June 2025</w:t>
      </w:r>
      <w:r>
        <w:rPr>
          <w:b/>
          <w:sz w:val="24"/>
        </w:rPr>
        <w:tab/>
      </w:r>
    </w:p>
    <w:p w14:paraId="6DD27378">
      <w:pPr>
        <w:pStyle w:val="3"/>
        <w:jc w:val="center"/>
        <w:rPr>
          <w:u w:val="single"/>
        </w:rPr>
      </w:pPr>
      <w:r>
        <w:rPr>
          <w:u w:val="single"/>
        </w:rPr>
        <w:t>Status Report to TSG</w:t>
      </w:r>
    </w:p>
    <w:p w14:paraId="65C7899C">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13.4.20</w:t>
      </w:r>
      <w:bookmarkStart w:id="1" w:name="_GoBack"/>
      <w:bookmarkEnd w:id="1"/>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0B1A5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76BDF9A0">
            <w:pPr>
              <w:tabs>
                <w:tab w:val="left" w:pos="567"/>
              </w:tabs>
              <w:spacing w:after="0"/>
              <w:rPr>
                <w:rFonts w:ascii="Arial" w:hAnsi="Arial" w:cs="Arial"/>
                <w:b/>
              </w:rPr>
            </w:pPr>
            <w:r>
              <w:rPr>
                <w:rFonts w:ascii="Arial" w:hAnsi="Arial" w:cs="Arial"/>
                <w:b/>
              </w:rPr>
              <w:t>WI / SI Name</w:t>
            </w:r>
          </w:p>
        </w:tc>
        <w:tc>
          <w:tcPr>
            <w:tcW w:w="7650" w:type="dxa"/>
            <w:gridSpan w:val="5"/>
          </w:tcPr>
          <w:p w14:paraId="1DD866BF">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IoT NTN enhancements plus CT1 aspects</w:t>
            </w:r>
          </w:p>
        </w:tc>
      </w:tr>
      <w:tr w14:paraId="7C34E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8F4F2B">
            <w:pPr>
              <w:tabs>
                <w:tab w:val="left" w:pos="567"/>
              </w:tabs>
              <w:spacing w:after="0"/>
              <w:rPr>
                <w:rFonts w:ascii="Arial" w:hAnsi="Arial" w:cs="Arial"/>
                <w:bCs/>
              </w:rPr>
            </w:pPr>
            <w:r>
              <w:rPr>
                <w:rFonts w:ascii="Arial" w:hAnsi="Arial" w:cs="Arial"/>
                <w:bCs/>
              </w:rPr>
              <w:t>included in this status report</w:t>
            </w:r>
          </w:p>
        </w:tc>
        <w:tc>
          <w:tcPr>
            <w:tcW w:w="1846" w:type="dxa"/>
          </w:tcPr>
          <w:p w14:paraId="52223705">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4CDC7D86">
            <w:pPr>
              <w:tabs>
                <w:tab w:val="left" w:pos="567"/>
              </w:tabs>
              <w:spacing w:after="0"/>
              <w:rPr>
                <w:rFonts w:ascii="Arial" w:hAnsi="Arial" w:cs="Arial"/>
              </w:rPr>
            </w:pPr>
            <w:r>
              <w:rPr>
                <w:rFonts w:ascii="Arial" w:hAnsi="Arial" w:cs="Arial"/>
                <w:lang w:eastAsia="ja-JP"/>
              </w:rPr>
              <w:t>No</w:t>
            </w:r>
          </w:p>
        </w:tc>
        <w:tc>
          <w:tcPr>
            <w:tcW w:w="1842" w:type="dxa"/>
          </w:tcPr>
          <w:p w14:paraId="274258E9">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2C91B4F">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14:paraId="2D4E9A48">
            <w:pPr>
              <w:tabs>
                <w:tab w:val="left" w:pos="567"/>
              </w:tabs>
              <w:spacing w:after="0"/>
              <w:rPr>
                <w:rFonts w:ascii="Arial" w:hAnsi="Arial" w:cs="Arial"/>
              </w:rPr>
            </w:pPr>
            <w:r>
              <w:rPr>
                <w:rFonts w:ascii="Arial" w:hAnsi="Arial" w:cs="Arial"/>
              </w:rPr>
              <w:t>Performance part:</w:t>
            </w:r>
          </w:p>
          <w:p w14:paraId="069F82BD">
            <w:pPr>
              <w:tabs>
                <w:tab w:val="left" w:pos="567"/>
              </w:tabs>
              <w:spacing w:after="0"/>
              <w:rPr>
                <w:rFonts w:ascii="Arial" w:hAnsi="Arial" w:cs="Arial"/>
                <w:lang w:eastAsia="ja-JP"/>
              </w:rPr>
            </w:pPr>
            <w:r>
              <w:rPr>
                <w:rFonts w:ascii="Arial" w:hAnsi="Arial" w:cs="Arial"/>
                <w:lang w:eastAsia="ja-JP"/>
              </w:rPr>
              <w:t>No</w:t>
            </w:r>
          </w:p>
        </w:tc>
        <w:tc>
          <w:tcPr>
            <w:tcW w:w="1653" w:type="dxa"/>
          </w:tcPr>
          <w:p w14:paraId="7CB61B1F">
            <w:pPr>
              <w:tabs>
                <w:tab w:val="left" w:pos="567"/>
              </w:tabs>
              <w:spacing w:after="0"/>
              <w:rPr>
                <w:rFonts w:ascii="Arial" w:hAnsi="Arial" w:cs="Arial"/>
              </w:rPr>
            </w:pPr>
            <w:r>
              <w:rPr>
                <w:rFonts w:ascii="Arial" w:hAnsi="Arial" w:cs="Arial"/>
              </w:rPr>
              <w:t>Testing part:</w:t>
            </w:r>
          </w:p>
          <w:p w14:paraId="79613FFB">
            <w:pPr>
              <w:tabs>
                <w:tab w:val="left" w:pos="567"/>
              </w:tabs>
              <w:spacing w:after="0"/>
              <w:rPr>
                <w:rFonts w:ascii="Arial" w:hAnsi="Arial" w:cs="Arial"/>
                <w:lang w:eastAsia="ja-JP"/>
              </w:rPr>
            </w:pPr>
            <w:r>
              <w:rPr>
                <w:rFonts w:ascii="Arial" w:hAnsi="Arial" w:cs="Arial"/>
                <w:lang w:eastAsia="ja-JP"/>
              </w:rPr>
              <w:t>Yes</w:t>
            </w:r>
          </w:p>
        </w:tc>
      </w:tr>
      <w:tr w14:paraId="5019C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DA01944">
            <w:pPr>
              <w:tabs>
                <w:tab w:val="left" w:pos="567"/>
              </w:tabs>
              <w:spacing w:after="0"/>
              <w:rPr>
                <w:rFonts w:ascii="Arial" w:hAnsi="Arial" w:cs="Arial"/>
                <w:b/>
              </w:rPr>
            </w:pPr>
            <w:r>
              <w:rPr>
                <w:rFonts w:ascii="Arial" w:hAnsi="Arial" w:cs="Arial"/>
                <w:b/>
              </w:rPr>
              <w:t>Acronym</w:t>
            </w:r>
          </w:p>
        </w:tc>
        <w:tc>
          <w:tcPr>
            <w:tcW w:w="7650" w:type="dxa"/>
            <w:gridSpan w:val="5"/>
          </w:tcPr>
          <w:p w14:paraId="6185E9B8">
            <w:pPr>
              <w:tabs>
                <w:tab w:val="left" w:pos="567"/>
              </w:tabs>
              <w:spacing w:after="0"/>
              <w:rPr>
                <w:rFonts w:ascii="Arial" w:hAnsi="Arial" w:cs="Arial"/>
              </w:rPr>
            </w:pPr>
            <w:r>
              <w:rPr>
                <w:rFonts w:hint="eastAsia" w:ascii="Arial" w:hAnsi="Arial" w:cs="Arial"/>
              </w:rPr>
              <w:t>IoT_NTN_enh_plus_CT1-UEConTest</w:t>
            </w:r>
          </w:p>
        </w:tc>
      </w:tr>
      <w:tr w14:paraId="440E0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11491B48">
            <w:pPr>
              <w:tabs>
                <w:tab w:val="left" w:pos="567"/>
              </w:tabs>
              <w:spacing w:after="0"/>
              <w:rPr>
                <w:rFonts w:ascii="Arial" w:hAnsi="Arial" w:cs="Arial"/>
                <w:b/>
              </w:rPr>
            </w:pPr>
            <w:r>
              <w:rPr>
                <w:rFonts w:ascii="Arial" w:hAnsi="Arial" w:cs="Arial"/>
                <w:b/>
              </w:rPr>
              <w:t>Unique ID</w:t>
            </w:r>
          </w:p>
        </w:tc>
        <w:tc>
          <w:tcPr>
            <w:tcW w:w="7650" w:type="dxa"/>
            <w:gridSpan w:val="5"/>
          </w:tcPr>
          <w:p w14:paraId="7687A774">
            <w:pPr>
              <w:tabs>
                <w:tab w:val="left" w:pos="567"/>
              </w:tabs>
              <w:spacing w:after="0"/>
              <w:rPr>
                <w:rFonts w:ascii="Arial" w:hAnsi="Arial" w:eastAsia="等线" w:cs="Arial"/>
                <w:lang w:eastAsia="ja-JP"/>
              </w:rPr>
            </w:pPr>
            <w:r>
              <w:rPr>
                <w:rFonts w:hint="eastAsia" w:ascii="Arial" w:hAnsi="Arial" w:eastAsia="等线" w:cs="Arial"/>
                <w:lang w:eastAsia="ja-JP"/>
              </w:rPr>
              <w:t>1030073</w:t>
            </w:r>
          </w:p>
        </w:tc>
      </w:tr>
      <w:tr w14:paraId="0254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ECE941F">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4E56D7C">
            <w:pPr>
              <w:tabs>
                <w:tab w:val="left" w:pos="567"/>
              </w:tabs>
              <w:spacing w:after="0"/>
              <w:rPr>
                <w:rFonts w:ascii="Arial" w:hAnsi="Arial" w:cs="Arial"/>
                <w:lang w:val="en-US" w:eastAsia="ja-JP"/>
              </w:rPr>
            </w:pPr>
            <w:r>
              <w:rPr>
                <w:rStyle w:val="57"/>
                <w:rFonts w:hint="eastAsia" w:ascii="Arial" w:hAnsi="Arial" w:cs="Arial"/>
                <w:lang w:val="en-US" w:eastAsia="ja-JP"/>
              </w:rPr>
              <w:fldChar w:fldCharType="begin"/>
            </w:r>
            <w:r>
              <w:rPr>
                <w:rStyle w:val="57"/>
                <w:rFonts w:hint="eastAsia" w:ascii="Arial" w:hAnsi="Arial" w:cs="Arial"/>
                <w:lang w:val="en-US" w:eastAsia="ja-JP"/>
              </w:rPr>
              <w:instrText xml:space="preserve"> HYPERLINK "https://www.3gpp.org/ftp/tsg_ran/TSG_RAN/TSGR_105/Docs/RP-241949.zip" </w:instrText>
            </w:r>
            <w:r>
              <w:rPr>
                <w:rStyle w:val="57"/>
                <w:rFonts w:hint="eastAsia" w:ascii="Arial" w:hAnsi="Arial" w:cs="Arial"/>
                <w:lang w:val="en-US" w:eastAsia="ja-JP"/>
              </w:rPr>
              <w:fldChar w:fldCharType="separate"/>
            </w:r>
            <w:r>
              <w:rPr>
                <w:rStyle w:val="57"/>
                <w:rFonts w:hint="eastAsia" w:ascii="Arial" w:hAnsi="Arial" w:cs="Arial"/>
                <w:lang w:val="en-US" w:eastAsia="ja-JP"/>
              </w:rPr>
              <w:t>RP-241949</w:t>
            </w:r>
            <w:r>
              <w:rPr>
                <w:rStyle w:val="57"/>
                <w:rFonts w:hint="eastAsia" w:ascii="Arial" w:hAnsi="Arial" w:cs="Arial"/>
                <w:lang w:val="en-US" w:eastAsia="ja-JP"/>
              </w:rPr>
              <w:fldChar w:fldCharType="end"/>
            </w:r>
          </w:p>
        </w:tc>
      </w:tr>
      <w:tr w14:paraId="48F301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D30DEBF">
            <w:pPr>
              <w:tabs>
                <w:tab w:val="left" w:pos="567"/>
              </w:tabs>
              <w:spacing w:after="0"/>
              <w:rPr>
                <w:rFonts w:ascii="Arial" w:hAnsi="Arial" w:cs="Arial"/>
                <w:b/>
              </w:rPr>
            </w:pPr>
            <w:r>
              <w:rPr>
                <w:rFonts w:ascii="Arial" w:hAnsi="Arial" w:cs="Arial"/>
                <w:b/>
              </w:rPr>
              <w:t>Target Completion Date</w:t>
            </w:r>
          </w:p>
          <w:p w14:paraId="38ED95D8">
            <w:pPr>
              <w:tabs>
                <w:tab w:val="left" w:pos="567"/>
              </w:tabs>
              <w:spacing w:after="0"/>
              <w:rPr>
                <w:rFonts w:ascii="Arial" w:hAnsi="Arial" w:cs="Arial"/>
                <w:b/>
              </w:rPr>
            </w:pPr>
            <w:r>
              <w:rPr>
                <w:rFonts w:ascii="Arial" w:hAnsi="Arial" w:cs="Arial"/>
                <w:b/>
              </w:rPr>
              <w:t>(indicate if changed)</w:t>
            </w:r>
          </w:p>
        </w:tc>
        <w:tc>
          <w:tcPr>
            <w:tcW w:w="1846" w:type="dxa"/>
          </w:tcPr>
          <w:p w14:paraId="3DCC5FC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60700DE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0BFE82F">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73622642">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14:paraId="6A84C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14:paraId="1C0D1427">
            <w:pPr>
              <w:tabs>
                <w:tab w:val="left" w:pos="567"/>
              </w:tabs>
              <w:spacing w:after="0"/>
              <w:rPr>
                <w:rFonts w:ascii="Arial" w:hAnsi="Arial" w:cs="Arial"/>
                <w:b/>
              </w:rPr>
            </w:pPr>
            <w:r>
              <w:rPr>
                <w:rFonts w:ascii="Arial" w:hAnsi="Arial" w:cs="Arial"/>
                <w:b/>
              </w:rPr>
              <w:t>Overall Completion level</w:t>
            </w:r>
          </w:p>
        </w:tc>
        <w:tc>
          <w:tcPr>
            <w:tcW w:w="1846" w:type="dxa"/>
          </w:tcPr>
          <w:p w14:paraId="173C72C0">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07FE61B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72F31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210F8C56">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80</w:t>
            </w:r>
            <w:r>
              <w:rPr>
                <w:rFonts w:ascii="Arial" w:hAnsi="Arial" w:eastAsia="宋体" w:cs="Arial"/>
                <w:color w:val="00B050"/>
                <w:kern w:val="2"/>
                <w:sz w:val="21"/>
                <w:szCs w:val="22"/>
                <w:highlight w:val="none"/>
                <w:lang w:eastAsia="ja-JP"/>
              </w:rPr>
              <w:t>%</w:t>
            </w:r>
          </w:p>
        </w:tc>
      </w:tr>
    </w:tbl>
    <w:p w14:paraId="3FD17817">
      <w:pPr>
        <w:tabs>
          <w:tab w:val="left" w:pos="567"/>
        </w:tabs>
        <w:spacing w:after="0"/>
        <w:rPr>
          <w:rFonts w:ascii="Arial" w:hAnsi="Arial" w:cs="Arial"/>
        </w:rPr>
      </w:pPr>
      <w:r>
        <w:rPr>
          <w:rFonts w:ascii="Arial" w:hAnsi="Arial" w:cs="Arial"/>
        </w:rPr>
        <w:t>Note: Overall completion level percentage numbers should use one of the colors below:</w:t>
      </w:r>
    </w:p>
    <w:p w14:paraId="766DA16D">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D5A080">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C58F7C3">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3104851">
      <w:pPr>
        <w:pStyle w:val="96"/>
        <w:tabs>
          <w:tab w:val="left" w:pos="567"/>
        </w:tabs>
        <w:ind w:left="924" w:leftChars="0"/>
        <w:rPr>
          <w:rFonts w:ascii="Arial" w:hAnsi="Arial" w:cs="Arial"/>
          <w:color w:val="FF0000"/>
        </w:rPr>
      </w:pPr>
    </w:p>
    <w:p w14:paraId="49E23821">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01E7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1286FA00">
            <w:pPr>
              <w:tabs>
                <w:tab w:val="left" w:pos="567"/>
              </w:tabs>
              <w:spacing w:after="0"/>
              <w:rPr>
                <w:rFonts w:ascii="Arial" w:hAnsi="Arial" w:cs="Arial"/>
                <w:b/>
              </w:rPr>
            </w:pPr>
            <w:r>
              <w:rPr>
                <w:rFonts w:ascii="Arial" w:hAnsi="Arial" w:cs="Arial"/>
                <w:b/>
              </w:rPr>
              <w:t>Leading WG</w:t>
            </w:r>
          </w:p>
        </w:tc>
        <w:tc>
          <w:tcPr>
            <w:tcW w:w="7336" w:type="dxa"/>
          </w:tcPr>
          <w:p w14:paraId="103F6332">
            <w:pPr>
              <w:tabs>
                <w:tab w:val="left" w:pos="567"/>
              </w:tabs>
              <w:spacing w:after="0"/>
              <w:rPr>
                <w:rFonts w:ascii="Arial" w:hAnsi="Arial" w:cs="Arial"/>
              </w:rPr>
            </w:pPr>
            <w:r>
              <w:rPr>
                <w:rFonts w:ascii="Arial" w:hAnsi="Arial" w:cs="Arial"/>
              </w:rPr>
              <w:t>TSG RAN WG5</w:t>
            </w:r>
          </w:p>
        </w:tc>
      </w:tr>
      <w:tr w14:paraId="7BAD0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2B0B79C5">
            <w:pPr>
              <w:tabs>
                <w:tab w:val="left" w:pos="567"/>
              </w:tabs>
              <w:rPr>
                <w:rFonts w:ascii="Arial" w:hAnsi="Arial" w:cs="Arial"/>
                <w:b/>
              </w:rPr>
            </w:pPr>
            <w:r>
              <w:rPr>
                <w:rFonts w:ascii="Arial" w:hAnsi="Arial" w:cs="Arial"/>
                <w:b/>
              </w:rPr>
              <w:t>Rapporteur</w:t>
            </w:r>
          </w:p>
        </w:tc>
        <w:tc>
          <w:tcPr>
            <w:tcW w:w="1335" w:type="dxa"/>
          </w:tcPr>
          <w:p w14:paraId="73CAED24">
            <w:pPr>
              <w:tabs>
                <w:tab w:val="left" w:pos="567"/>
              </w:tabs>
              <w:spacing w:after="0"/>
              <w:rPr>
                <w:rFonts w:ascii="Arial" w:hAnsi="Arial" w:cs="Arial"/>
                <w:b/>
              </w:rPr>
            </w:pPr>
            <w:r>
              <w:rPr>
                <w:rFonts w:ascii="Arial" w:hAnsi="Arial" w:cs="Arial"/>
                <w:b/>
              </w:rPr>
              <w:t>Name</w:t>
            </w:r>
          </w:p>
        </w:tc>
        <w:tc>
          <w:tcPr>
            <w:tcW w:w="7336" w:type="dxa"/>
          </w:tcPr>
          <w:p w14:paraId="703F4FA0">
            <w:pPr>
              <w:tabs>
                <w:tab w:val="left" w:pos="567"/>
              </w:tabs>
              <w:spacing w:after="0"/>
              <w:rPr>
                <w:rFonts w:hint="default" w:ascii="Arial" w:hAnsi="Arial" w:eastAsia="宋体" w:cs="Arial"/>
                <w:lang w:val="en-US" w:eastAsia="zh-CN"/>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Danbo Fu (MediaTek)</w:t>
            </w:r>
            <w:r>
              <w:rPr>
                <w:rFonts w:hint="eastAsia" w:ascii="Arial" w:hAnsi="Arial" w:eastAsia="宋体" w:cs="Arial"/>
                <w:lang w:val="en-US" w:eastAsia="zh-CN"/>
              </w:rPr>
              <w:t>, Yufeng Zhang (CAICT)</w:t>
            </w:r>
          </w:p>
        </w:tc>
      </w:tr>
      <w:tr w14:paraId="13E1A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526E689">
            <w:pPr>
              <w:tabs>
                <w:tab w:val="left" w:pos="567"/>
              </w:tabs>
              <w:rPr>
                <w:rFonts w:ascii="Arial" w:hAnsi="Arial" w:cs="Arial"/>
                <w:b/>
              </w:rPr>
            </w:pPr>
          </w:p>
        </w:tc>
        <w:tc>
          <w:tcPr>
            <w:tcW w:w="1335" w:type="dxa"/>
          </w:tcPr>
          <w:p w14:paraId="7D14284A">
            <w:pPr>
              <w:tabs>
                <w:tab w:val="left" w:pos="567"/>
              </w:tabs>
              <w:spacing w:after="0"/>
              <w:rPr>
                <w:rFonts w:ascii="Arial" w:hAnsi="Arial" w:cs="Arial"/>
                <w:b/>
              </w:rPr>
            </w:pPr>
            <w:r>
              <w:rPr>
                <w:rFonts w:ascii="Arial" w:hAnsi="Arial" w:cs="Arial"/>
                <w:b/>
              </w:rPr>
              <w:t>Company</w:t>
            </w:r>
          </w:p>
        </w:tc>
        <w:tc>
          <w:tcPr>
            <w:tcW w:w="7336" w:type="dxa"/>
          </w:tcPr>
          <w:p w14:paraId="04E897F8">
            <w:pPr>
              <w:tabs>
                <w:tab w:val="left" w:pos="567"/>
              </w:tabs>
              <w:spacing w:after="0"/>
              <w:rPr>
                <w:rFonts w:hint="default" w:ascii="Arial" w:hAnsi="Arial" w:eastAsia="宋体" w:cs="Arial"/>
                <w:lang w:val="en-US" w:eastAsia="zh-CN"/>
              </w:rPr>
            </w:pPr>
            <w:r>
              <w:rPr>
                <w:rFonts w:hint="eastAsia" w:ascii="Arial" w:hAnsi="Arial" w:cs="Arial"/>
              </w:rPr>
              <w:t>CMCC, MediaTek Inc.</w:t>
            </w:r>
            <w:r>
              <w:rPr>
                <w:rFonts w:hint="eastAsia" w:ascii="Arial" w:hAnsi="Arial" w:eastAsia="宋体" w:cs="Arial"/>
                <w:lang w:val="en-US" w:eastAsia="zh-CN"/>
              </w:rPr>
              <w:t xml:space="preserve">, </w:t>
            </w:r>
            <w:r>
              <w:rPr>
                <w:rFonts w:hint="eastAsia" w:ascii="Arial" w:hAnsi="Arial" w:cs="Arial"/>
                <w:highlight w:val="none"/>
                <w:lang w:val="en-US"/>
              </w:rPr>
              <w:t>CAICT</w:t>
            </w:r>
          </w:p>
        </w:tc>
      </w:tr>
      <w:tr w14:paraId="08C1F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77EA247">
            <w:pPr>
              <w:tabs>
                <w:tab w:val="left" w:pos="567"/>
              </w:tabs>
              <w:rPr>
                <w:rFonts w:ascii="Arial" w:hAnsi="Arial" w:cs="Arial"/>
                <w:b/>
              </w:rPr>
            </w:pPr>
          </w:p>
        </w:tc>
        <w:tc>
          <w:tcPr>
            <w:tcW w:w="1335" w:type="dxa"/>
          </w:tcPr>
          <w:p w14:paraId="759C0F22">
            <w:pPr>
              <w:tabs>
                <w:tab w:val="left" w:pos="567"/>
              </w:tabs>
              <w:spacing w:after="0"/>
              <w:rPr>
                <w:rFonts w:ascii="Arial" w:hAnsi="Arial" w:cs="Arial"/>
                <w:b/>
              </w:rPr>
            </w:pPr>
            <w:r>
              <w:rPr>
                <w:rFonts w:ascii="Arial" w:hAnsi="Arial" w:cs="Arial"/>
                <w:b/>
              </w:rPr>
              <w:t>Email</w:t>
            </w:r>
          </w:p>
        </w:tc>
        <w:tc>
          <w:tcPr>
            <w:tcW w:w="7336" w:type="dxa"/>
          </w:tcPr>
          <w:p w14:paraId="03BA7AAE">
            <w:pPr>
              <w:tabs>
                <w:tab w:val="left" w:pos="567"/>
              </w:tabs>
              <w:spacing w:after="0"/>
              <w:rPr>
                <w:rFonts w:hint="default" w:ascii="Arial" w:hAnsi="Arial" w:eastAsia="宋体" w:cs="Arial"/>
                <w:lang w:val="en-US" w:eastAsia="zh-CN"/>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rPr>
                <w:rStyle w:val="57"/>
                <w:rFonts w:hint="eastAsia" w:ascii="Arial" w:hAnsi="Arial" w:cs="Arial"/>
                <w:highlight w:val="none"/>
                <w:lang w:val="en-US"/>
              </w:rPr>
              <w:fldChar w:fldCharType="begin"/>
            </w:r>
            <w:r>
              <w:rPr>
                <w:rStyle w:val="57"/>
                <w:rFonts w:hint="eastAsia" w:ascii="Arial" w:hAnsi="Arial" w:cs="Arial"/>
                <w:highlight w:val="none"/>
                <w:lang w:val="en-US"/>
              </w:rPr>
              <w:instrText xml:space="preserve"> HYPERLINK "mailto:Danbo.Fu@mediatek.com" </w:instrText>
            </w:r>
            <w:r>
              <w:rPr>
                <w:rStyle w:val="57"/>
                <w:rFonts w:hint="eastAsia" w:ascii="Arial" w:hAnsi="Arial" w:cs="Arial"/>
                <w:highlight w:val="none"/>
                <w:lang w:val="en-US"/>
              </w:rPr>
              <w:fldChar w:fldCharType="separate"/>
            </w:r>
            <w:r>
              <w:rPr>
                <w:rStyle w:val="57"/>
                <w:rFonts w:hint="eastAsia" w:ascii="Arial" w:hAnsi="Arial" w:cs="Arial"/>
                <w:highlight w:val="none"/>
                <w:lang w:val="en-US"/>
              </w:rPr>
              <w:t>Danbo.Fu@mediatek.com</w:t>
            </w:r>
            <w:r>
              <w:rPr>
                <w:rStyle w:val="57"/>
                <w:rFonts w:hint="eastAsia" w:ascii="Arial" w:hAnsi="Arial" w:cs="Arial"/>
                <w:highlight w:val="none"/>
                <w:lang w:val="en-US"/>
              </w:rPr>
              <w:fldChar w:fldCharType="end"/>
            </w:r>
            <w:r>
              <w:rPr>
                <w:rStyle w:val="57"/>
                <w:rFonts w:hint="eastAsia" w:ascii="Arial" w:hAnsi="Arial" w:eastAsia="宋体" w:cs="Arial"/>
                <w:lang w:val="en-US" w:eastAsia="zh-CN"/>
              </w:rPr>
              <w:t xml:space="preserve">, </w:t>
            </w:r>
            <w:r>
              <w:rPr>
                <w:rStyle w:val="57"/>
                <w:rFonts w:hint="eastAsia" w:ascii="Arial" w:hAnsi="Arial" w:cs="Arial"/>
                <w:highlight w:val="none"/>
                <w:lang w:val="en-US"/>
              </w:rPr>
              <w:t>zhangyufeng@caict.ac.cn</w:t>
            </w:r>
          </w:p>
        </w:tc>
      </w:tr>
    </w:tbl>
    <w:p w14:paraId="5ECE9B98">
      <w:pPr>
        <w:pBdr>
          <w:bottom w:val="single" w:color="auto" w:sz="4" w:space="1"/>
        </w:pBdr>
        <w:spacing w:after="0"/>
        <w:rPr>
          <w:rFonts w:ascii="Arial" w:hAnsi="Arial" w:cs="Arial"/>
        </w:rPr>
      </w:pPr>
    </w:p>
    <w:p w14:paraId="1E0D877A">
      <w:pPr>
        <w:pBdr>
          <w:bottom w:val="single" w:color="auto" w:sz="4" w:space="1"/>
        </w:pBdr>
        <w:rPr>
          <w:rFonts w:ascii="Arial" w:hAnsi="Arial" w:cs="Arial"/>
        </w:rPr>
      </w:pPr>
    </w:p>
    <w:p w14:paraId="2070864B">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2064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2FEDD779">
            <w:pPr>
              <w:pStyle w:val="64"/>
              <w:jc w:val="center"/>
              <w:rPr>
                <w:b/>
                <w:bCs/>
              </w:rPr>
            </w:pPr>
            <w:r>
              <w:rPr>
                <w:b/>
                <w:bCs/>
              </w:rPr>
              <w:t>Do you want to modify the time budget for this WI/SI compared to what was endorsed at the last RAN meeting?</w:t>
            </w:r>
          </w:p>
        </w:tc>
        <w:tc>
          <w:tcPr>
            <w:tcW w:w="1037" w:type="dxa"/>
            <w:vAlign w:val="center"/>
          </w:tcPr>
          <w:p w14:paraId="5846BAB2">
            <w:pPr>
              <w:pStyle w:val="64"/>
              <w:jc w:val="center"/>
              <w:rPr>
                <w:lang w:eastAsia="ja-JP"/>
              </w:rPr>
            </w:pPr>
            <w:r>
              <w:rPr>
                <w:lang w:eastAsia="ja-JP"/>
              </w:rPr>
              <w:t>No</w:t>
            </w:r>
          </w:p>
        </w:tc>
      </w:tr>
    </w:tbl>
    <w:p w14:paraId="5DE278F4">
      <w:pPr>
        <w:spacing w:after="0"/>
        <w:rPr>
          <w:rFonts w:ascii="Arial" w:hAnsi="Arial" w:cs="Arial"/>
        </w:rPr>
      </w:pPr>
    </w:p>
    <w:p w14:paraId="56AB9649">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08F791C8">
      <w:pPr>
        <w:spacing w:after="0"/>
        <w:rPr>
          <w:rFonts w:ascii="Arial" w:hAnsi="Arial" w:cs="Arial"/>
          <w:b/>
        </w:rPr>
      </w:pPr>
      <w:r>
        <w:rPr>
          <w:rFonts w:ascii="Arial" w:hAnsi="Arial" w:cs="Arial"/>
          <w:b/>
        </w:rPr>
        <w:t>Additional explanations/motivations for the time budget changes in the attached Excel table:</w:t>
      </w:r>
    </w:p>
    <w:p w14:paraId="5FA46C64">
      <w:pPr>
        <w:spacing w:after="0"/>
        <w:rPr>
          <w:rFonts w:ascii="Arial" w:hAnsi="Arial" w:cs="Arial"/>
        </w:rPr>
      </w:pPr>
    </w:p>
    <w:p w14:paraId="017A7954">
      <w:pPr>
        <w:spacing w:after="0"/>
        <w:rPr>
          <w:rFonts w:ascii="Arial" w:hAnsi="Arial" w:cs="Arial"/>
        </w:rPr>
      </w:pPr>
    </w:p>
    <w:p w14:paraId="6F72533D">
      <w:pPr>
        <w:pStyle w:val="3"/>
      </w:pPr>
      <w:r>
        <w:t>2.</w:t>
      </w:r>
      <w:r>
        <w:tab/>
      </w:r>
      <w:r>
        <w:t>Detailed progress in RAN WGs since last TSG meeting (for all involved WGs)</w:t>
      </w:r>
    </w:p>
    <w:p w14:paraId="044D66F4">
      <w:pPr>
        <w:rPr>
          <w:rFonts w:ascii="Arial" w:hAnsi="Arial" w:cs="Arial"/>
        </w:rPr>
      </w:pPr>
      <w:r>
        <w:tab/>
      </w:r>
      <w:r>
        <w:rPr>
          <w:rFonts w:ascii="Arial" w:hAnsi="Arial" w:cs="Arial"/>
          <w:color w:val="FF0000"/>
        </w:rPr>
        <w:t>NOTE: Agreements and Open issues impacted cross-TSG aspects shall be explicitly highlighted</w:t>
      </w:r>
    </w:p>
    <w:p w14:paraId="61B47EED">
      <w:pPr>
        <w:pStyle w:val="3"/>
        <w:rPr>
          <w:lang w:eastAsia="ja-JP"/>
        </w:rPr>
      </w:pPr>
      <w:r>
        <w:rPr>
          <w:lang w:eastAsia="ja-JP"/>
        </w:rPr>
        <w:t>2.1</w:t>
      </w:r>
      <w:r>
        <w:rPr>
          <w:lang w:eastAsia="ja-JP"/>
        </w:rPr>
        <w:tab/>
      </w:r>
      <w:r>
        <w:rPr>
          <w:rFonts w:hint="eastAsia"/>
          <w:lang w:eastAsia="ja-JP"/>
        </w:rPr>
        <w:t>RAN1</w:t>
      </w:r>
    </w:p>
    <w:p w14:paraId="0936030B">
      <w:pPr>
        <w:pStyle w:val="5"/>
        <w:rPr>
          <w:lang w:eastAsia="ja-JP"/>
        </w:rPr>
      </w:pPr>
      <w:r>
        <w:rPr>
          <w:lang w:eastAsia="ja-JP"/>
        </w:rPr>
        <w:t>2.1.1</w:t>
      </w:r>
      <w:r>
        <w:rPr>
          <w:lang w:eastAsia="ja-JP"/>
        </w:rPr>
        <w:tab/>
      </w:r>
      <w:r>
        <w:rPr>
          <w:lang w:eastAsia="ja-JP"/>
        </w:rPr>
        <w:t>Agreements</w:t>
      </w:r>
    </w:p>
    <w:p w14:paraId="2AB4F0A7">
      <w:pPr>
        <w:pStyle w:val="5"/>
        <w:rPr>
          <w:lang w:eastAsia="ja-JP"/>
        </w:rPr>
      </w:pPr>
      <w:r>
        <w:rPr>
          <w:lang w:eastAsia="ja-JP"/>
        </w:rPr>
        <w:t>2.1.2</w:t>
      </w:r>
      <w:r>
        <w:rPr>
          <w:lang w:eastAsia="ja-JP"/>
        </w:rPr>
        <w:tab/>
      </w:r>
      <w:r>
        <w:rPr>
          <w:lang w:eastAsia="ja-JP"/>
        </w:rPr>
        <w:t>Remaining Open issues</w:t>
      </w:r>
    </w:p>
    <w:p w14:paraId="6931EF3E">
      <w:pPr>
        <w:pStyle w:val="3"/>
        <w:rPr>
          <w:lang w:eastAsia="ja-JP"/>
        </w:rPr>
      </w:pPr>
      <w:r>
        <w:rPr>
          <w:lang w:eastAsia="ja-JP"/>
        </w:rPr>
        <w:t>2.2</w:t>
      </w:r>
      <w:r>
        <w:rPr>
          <w:lang w:eastAsia="ja-JP"/>
        </w:rPr>
        <w:tab/>
      </w:r>
      <w:r>
        <w:rPr>
          <w:rFonts w:hint="eastAsia"/>
          <w:lang w:eastAsia="ja-JP"/>
        </w:rPr>
        <w:t>RAN2</w:t>
      </w:r>
    </w:p>
    <w:p w14:paraId="20364FC6">
      <w:pPr>
        <w:pStyle w:val="5"/>
        <w:rPr>
          <w:lang w:eastAsia="ja-JP"/>
        </w:rPr>
      </w:pPr>
      <w:r>
        <w:rPr>
          <w:lang w:eastAsia="ja-JP"/>
        </w:rPr>
        <w:t>2.2.1</w:t>
      </w:r>
      <w:r>
        <w:rPr>
          <w:lang w:eastAsia="ja-JP"/>
        </w:rPr>
        <w:tab/>
      </w:r>
      <w:r>
        <w:rPr>
          <w:lang w:eastAsia="ja-JP"/>
        </w:rPr>
        <w:t>Agreements</w:t>
      </w:r>
    </w:p>
    <w:p w14:paraId="0F976BC3">
      <w:pPr>
        <w:pStyle w:val="5"/>
        <w:rPr>
          <w:lang w:eastAsia="ja-JP"/>
        </w:rPr>
      </w:pPr>
      <w:r>
        <w:rPr>
          <w:lang w:eastAsia="ja-JP"/>
        </w:rPr>
        <w:t>2.2.2</w:t>
      </w:r>
      <w:r>
        <w:rPr>
          <w:lang w:eastAsia="ja-JP"/>
        </w:rPr>
        <w:tab/>
      </w:r>
      <w:r>
        <w:rPr>
          <w:lang w:eastAsia="ja-JP"/>
        </w:rPr>
        <w:t xml:space="preserve">Remaining Open issues </w:t>
      </w:r>
    </w:p>
    <w:p w14:paraId="3C80F4E9">
      <w:pPr>
        <w:pStyle w:val="3"/>
        <w:rPr>
          <w:lang w:eastAsia="ja-JP"/>
        </w:rPr>
      </w:pPr>
      <w:r>
        <w:rPr>
          <w:lang w:eastAsia="ja-JP"/>
        </w:rPr>
        <w:t>2.3</w:t>
      </w:r>
      <w:r>
        <w:rPr>
          <w:lang w:eastAsia="ja-JP"/>
        </w:rPr>
        <w:tab/>
      </w:r>
      <w:r>
        <w:rPr>
          <w:rFonts w:hint="eastAsia"/>
          <w:lang w:eastAsia="ja-JP"/>
        </w:rPr>
        <w:t>RAN3</w:t>
      </w:r>
    </w:p>
    <w:p w14:paraId="17DD5116">
      <w:pPr>
        <w:pStyle w:val="5"/>
        <w:rPr>
          <w:lang w:eastAsia="ja-JP"/>
        </w:rPr>
      </w:pPr>
      <w:r>
        <w:rPr>
          <w:lang w:eastAsia="ja-JP"/>
        </w:rPr>
        <w:t>2.3.1</w:t>
      </w:r>
      <w:r>
        <w:rPr>
          <w:lang w:eastAsia="ja-JP"/>
        </w:rPr>
        <w:tab/>
      </w:r>
      <w:r>
        <w:rPr>
          <w:lang w:eastAsia="ja-JP"/>
        </w:rPr>
        <w:t>Agreements</w:t>
      </w:r>
    </w:p>
    <w:p w14:paraId="56BCCAD9">
      <w:pPr>
        <w:pStyle w:val="5"/>
        <w:rPr>
          <w:rFonts w:cs="Arial"/>
          <w:lang w:eastAsia="ja-JP"/>
        </w:rPr>
      </w:pPr>
      <w:r>
        <w:rPr>
          <w:lang w:eastAsia="ja-JP"/>
        </w:rPr>
        <w:t>2.3.2</w:t>
      </w:r>
      <w:r>
        <w:rPr>
          <w:lang w:eastAsia="ja-JP"/>
        </w:rPr>
        <w:tab/>
      </w:r>
      <w:r>
        <w:rPr>
          <w:lang w:eastAsia="ja-JP"/>
        </w:rPr>
        <w:t>Remaining Open issues</w:t>
      </w:r>
    </w:p>
    <w:p w14:paraId="1431BE7C">
      <w:pPr>
        <w:pStyle w:val="3"/>
        <w:rPr>
          <w:lang w:eastAsia="ja-JP"/>
        </w:rPr>
      </w:pPr>
      <w:r>
        <w:rPr>
          <w:lang w:eastAsia="ja-JP"/>
        </w:rPr>
        <w:t>2.4</w:t>
      </w:r>
      <w:r>
        <w:rPr>
          <w:lang w:eastAsia="ja-JP"/>
        </w:rPr>
        <w:tab/>
      </w:r>
      <w:r>
        <w:rPr>
          <w:rFonts w:hint="eastAsia"/>
          <w:lang w:eastAsia="ja-JP"/>
        </w:rPr>
        <w:t>RAN4</w:t>
      </w:r>
    </w:p>
    <w:p w14:paraId="3FD4880C">
      <w:pPr>
        <w:pStyle w:val="5"/>
        <w:rPr>
          <w:lang w:eastAsia="ja-JP"/>
        </w:rPr>
      </w:pPr>
      <w:r>
        <w:rPr>
          <w:lang w:eastAsia="ja-JP"/>
        </w:rPr>
        <w:t>2.4.1</w:t>
      </w:r>
      <w:r>
        <w:rPr>
          <w:lang w:eastAsia="ja-JP"/>
        </w:rPr>
        <w:tab/>
      </w:r>
      <w:r>
        <w:rPr>
          <w:lang w:eastAsia="ja-JP"/>
        </w:rPr>
        <w:t>Agreements</w:t>
      </w:r>
    </w:p>
    <w:p w14:paraId="6F649C68">
      <w:pPr>
        <w:pStyle w:val="5"/>
        <w:rPr>
          <w:rFonts w:cs="Arial"/>
          <w:lang w:eastAsia="ja-JP"/>
        </w:rPr>
      </w:pPr>
      <w:r>
        <w:rPr>
          <w:lang w:eastAsia="ja-JP"/>
        </w:rPr>
        <w:t>2.4.2</w:t>
      </w:r>
      <w:r>
        <w:rPr>
          <w:lang w:eastAsia="ja-JP"/>
        </w:rPr>
        <w:tab/>
      </w:r>
      <w:r>
        <w:rPr>
          <w:lang w:eastAsia="ja-JP"/>
        </w:rPr>
        <w:t>Remaining Open issues</w:t>
      </w:r>
    </w:p>
    <w:p w14:paraId="7A6ED153">
      <w:pPr>
        <w:pStyle w:val="3"/>
        <w:rPr>
          <w:lang w:eastAsia="ja-JP"/>
        </w:rPr>
      </w:pPr>
      <w:r>
        <w:rPr>
          <w:lang w:eastAsia="ja-JP"/>
        </w:rPr>
        <w:t>2.5</w:t>
      </w:r>
      <w:r>
        <w:rPr>
          <w:lang w:eastAsia="ja-JP"/>
        </w:rPr>
        <w:tab/>
      </w:r>
      <w:r>
        <w:rPr>
          <w:rFonts w:hint="eastAsia"/>
          <w:lang w:eastAsia="ja-JP"/>
        </w:rPr>
        <w:t>RAN</w:t>
      </w:r>
      <w:r>
        <w:rPr>
          <w:lang w:eastAsia="ja-JP"/>
        </w:rPr>
        <w:t>5</w:t>
      </w:r>
    </w:p>
    <w:p w14:paraId="512951FF">
      <w:pPr>
        <w:pStyle w:val="5"/>
        <w:rPr>
          <w:lang w:eastAsia="ja-JP"/>
        </w:rPr>
      </w:pPr>
      <w:r>
        <w:rPr>
          <w:lang w:eastAsia="ja-JP"/>
        </w:rPr>
        <w:t>2.5.1</w:t>
      </w:r>
      <w:r>
        <w:rPr>
          <w:lang w:eastAsia="ja-JP"/>
        </w:rPr>
        <w:tab/>
      </w:r>
      <w:r>
        <w:rPr>
          <w:lang w:eastAsia="ja-JP"/>
        </w:rPr>
        <w:t>Agreements</w:t>
      </w:r>
    </w:p>
    <w:p w14:paraId="472E355B">
      <w:pPr>
        <w:autoSpaceDE/>
        <w:autoSpaceDN/>
        <w:snapToGrid w:val="0"/>
        <w:spacing w:after="156" w:afterLines="50"/>
        <w:rPr>
          <w:rFonts w:ascii="Arial" w:hAnsi="Arial" w:cs="Arial"/>
          <w:highlight w:val="none"/>
          <w:lang w:eastAsia="ja-JP"/>
        </w:rPr>
      </w:pPr>
      <w:r>
        <w:rPr>
          <w:rFonts w:ascii="Arial" w:hAnsi="Arial" w:cs="Arial"/>
        </w:rPr>
        <w:t>Status</w:t>
      </w:r>
      <w:r>
        <w:rPr>
          <w:rFonts w:ascii="Arial" w:hAnsi="Arial" w:cs="Arial"/>
          <w:highlight w:val="none"/>
        </w:rPr>
        <w:t xml:space="preserve"> after RAN5#</w:t>
      </w:r>
      <w:r>
        <w:rPr>
          <w:rFonts w:hint="eastAsia" w:ascii="Arial" w:hAnsi="Arial" w:eastAsia="宋体" w:cs="Arial"/>
          <w:highlight w:val="none"/>
          <w:lang w:val="en-US" w:eastAsia="zh-CN"/>
        </w:rPr>
        <w:t>107</w:t>
      </w:r>
      <w:r>
        <w:rPr>
          <w:rFonts w:ascii="Arial" w:hAnsi="Arial" w:cs="Arial"/>
          <w:highlight w:val="none"/>
        </w:rPr>
        <w:t xml:space="preserve"> (the details can be found in </w:t>
      </w:r>
      <w:r>
        <w:rPr>
          <w:rFonts w:hint="eastAsia" w:ascii="Arial" w:hAnsi="Arial" w:cs="Arial"/>
          <w:highlight w:val="none"/>
          <w:lang w:eastAsia="ja-JP"/>
        </w:rPr>
        <w:t>R5-25</w:t>
      </w:r>
      <w:r>
        <w:rPr>
          <w:rFonts w:hint="eastAsia" w:ascii="Arial" w:hAnsi="Arial" w:eastAsia="宋体" w:cs="Arial"/>
          <w:highlight w:val="none"/>
          <w:lang w:val="en-US" w:eastAsia="zh-CN"/>
        </w:rPr>
        <w:t>2072</w:t>
      </w:r>
      <w:r>
        <w:rPr>
          <w:rFonts w:ascii="Arial" w:hAnsi="Arial" w:cs="Arial"/>
          <w:highlight w:val="none"/>
        </w:rPr>
        <w:t>):</w:t>
      </w:r>
    </w:p>
    <w:p w14:paraId="3C43A1D0">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80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14:paraId="0C202E58">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eastAsiaTheme="minorEastAsia"/>
          <w:highlight w:val="none"/>
          <w:lang w:val="en-US"/>
        </w:rPr>
        <w:t xml:space="preserve">For common test environment, </w:t>
      </w:r>
      <w:r>
        <w:rPr>
          <w:rFonts w:hint="eastAsia" w:ascii="Arial" w:hAnsi="Arial" w:cs="Arial" w:eastAsiaTheme="minorEastAsia"/>
          <w:highlight w:val="none"/>
          <w:lang w:val="en-US" w:eastAsia="zh-CN"/>
        </w:rPr>
        <w:t>1</w:t>
      </w:r>
      <w:r>
        <w:rPr>
          <w:rFonts w:hint="default" w:ascii="Arial" w:hAnsi="Arial" w:cs="Arial" w:eastAsiaTheme="minorEastAsia"/>
          <w:highlight w:val="none"/>
          <w:lang w:val="en-US"/>
        </w:rPr>
        <w:t xml:space="preserve"> Tdoc w</w:t>
      </w:r>
      <w:r>
        <w:rPr>
          <w:rFonts w:hint="eastAsia" w:ascii="Arial" w:hAnsi="Arial" w:cs="Arial" w:eastAsiaTheme="minorEastAsia"/>
          <w:highlight w:val="none"/>
          <w:lang w:val="en-US" w:eastAsia="zh-CN"/>
        </w:rPr>
        <w:t>as</w:t>
      </w:r>
      <w:r>
        <w:rPr>
          <w:rFonts w:hint="default" w:ascii="Arial" w:hAnsi="Arial" w:cs="Arial" w:eastAsiaTheme="minorEastAsia"/>
          <w:highlight w:val="none"/>
          <w:lang w:val="en-US"/>
        </w:rPr>
        <w:t xml:space="preserve"> agreed.</w:t>
      </w:r>
    </w:p>
    <w:p w14:paraId="640338BE">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eastAsia="zh-CN"/>
        </w:rPr>
        <w:t>RRM</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5</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14:paraId="4AE54A43">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TT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 xml:space="preserve">3 </w:t>
      </w:r>
      <w:r>
        <w:rPr>
          <w:rFonts w:ascii="Arial" w:hAnsi="Arial" w:cs="Arial"/>
          <w:highlight w:val="none"/>
          <w:lang w:val="en-US"/>
        </w:rPr>
        <w:t>Tdoc</w:t>
      </w:r>
      <w:r>
        <w:rPr>
          <w:rFonts w:hint="eastAsia" w:ascii="Arial" w:hAnsi="Arial" w:eastAsia="宋体" w:cs="Arial"/>
          <w:highlight w:val="none"/>
          <w:lang w:val="en-US" w:eastAsia="zh-CN"/>
        </w:rPr>
        <w:t>s</w:t>
      </w:r>
      <w:r>
        <w:rPr>
          <w:rFonts w:ascii="Arial" w:hAnsi="Arial" w:cs="Arial"/>
          <w:highlight w:val="none"/>
          <w:lang w:val="en-US"/>
        </w:rPr>
        <w:t xml:space="preserve"> </w:t>
      </w:r>
      <w:r>
        <w:rPr>
          <w:rFonts w:hint="eastAsia" w:ascii="Arial" w:hAnsi="Arial" w:eastAsia="宋体" w:cs="Arial"/>
          <w:highlight w:val="none"/>
          <w:lang w:val="en-US" w:eastAsia="zh-CN"/>
        </w:rPr>
        <w:t>were</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14:paraId="0F60C0E6">
      <w:pPr>
        <w:numPr>
          <w:ilvl w:val="0"/>
          <w:numId w:val="0"/>
        </w:numPr>
        <w:overflowPunct/>
        <w:autoSpaceDE/>
        <w:autoSpaceDN/>
        <w:snapToGrid w:val="0"/>
        <w:spacing w:after="156" w:afterLines="50"/>
        <w:ind w:left="360" w:leftChars="0"/>
        <w:textAlignment w:val="auto"/>
        <w:rPr>
          <w:rFonts w:ascii="Arial" w:hAnsi="Arial" w:cs="Arial"/>
          <w:highlight w:val="yellow"/>
        </w:rPr>
      </w:pPr>
    </w:p>
    <w:p w14:paraId="0614C75A">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14:paraId="21F7A83F">
      <w:pPr>
        <w:rPr>
          <w:lang w:eastAsia="ja-JP"/>
        </w:rPr>
      </w:pPr>
      <w:r>
        <w:rPr>
          <w:rFonts w:ascii="Arial" w:hAnsi="Arial" w:cs="Arial"/>
          <w:bCs/>
        </w:rPr>
        <w:t>See the work plan for details [1].</w:t>
      </w:r>
    </w:p>
    <w:p w14:paraId="09AE0F90">
      <w:pPr>
        <w:pStyle w:val="5"/>
        <w:rPr>
          <w:lang w:eastAsia="ja-JP"/>
        </w:rPr>
      </w:pPr>
      <w:r>
        <w:rPr>
          <w:lang w:eastAsia="ja-JP"/>
        </w:rPr>
        <w:t>2.5.3</w:t>
      </w:r>
      <w:r>
        <w:rPr>
          <w:lang w:eastAsia="ja-JP"/>
        </w:rPr>
        <w:tab/>
      </w:r>
      <w:r>
        <w:rPr>
          <w:lang w:eastAsia="ja-JP"/>
        </w:rPr>
        <w:t>Remaining Open issues with cross-WG dependencies</w:t>
      </w:r>
    </w:p>
    <w:p w14:paraId="0AB85852">
      <w:pPr>
        <w:rPr>
          <w:rFonts w:ascii="Arial" w:hAnsi="Arial" w:cs="Arial"/>
          <w:bCs/>
        </w:rPr>
      </w:pPr>
      <w:r>
        <w:rPr>
          <w:rFonts w:ascii="Arial" w:hAnsi="Arial" w:cs="Arial"/>
          <w:bCs/>
        </w:rPr>
        <w:t>N/A.</w:t>
      </w:r>
    </w:p>
    <w:p w14:paraId="62907834">
      <w:pPr>
        <w:pStyle w:val="3"/>
        <w:rPr>
          <w:lang w:eastAsia="ja-JP"/>
        </w:rPr>
      </w:pPr>
      <w:r>
        <w:rPr>
          <w:lang w:eastAsia="ja-JP"/>
        </w:rPr>
        <w:t>2.6</w:t>
      </w:r>
      <w:r>
        <w:rPr>
          <w:lang w:eastAsia="ja-JP"/>
        </w:rPr>
        <w:tab/>
      </w:r>
      <w:r>
        <w:rPr>
          <w:rFonts w:hint="eastAsia"/>
          <w:lang w:eastAsia="ja-JP"/>
        </w:rPr>
        <w:t>RAN6</w:t>
      </w:r>
    </w:p>
    <w:p w14:paraId="60AE5D99">
      <w:pPr>
        <w:pStyle w:val="5"/>
        <w:rPr>
          <w:lang w:eastAsia="ja-JP"/>
        </w:rPr>
      </w:pPr>
      <w:r>
        <w:rPr>
          <w:lang w:eastAsia="ja-JP"/>
        </w:rPr>
        <w:t>2.6.1</w:t>
      </w:r>
      <w:r>
        <w:rPr>
          <w:lang w:eastAsia="ja-JP"/>
        </w:rPr>
        <w:tab/>
      </w:r>
      <w:r>
        <w:rPr>
          <w:lang w:eastAsia="ja-JP"/>
        </w:rPr>
        <w:t>Agreements</w:t>
      </w:r>
    </w:p>
    <w:p w14:paraId="27C1675D">
      <w:pPr>
        <w:pStyle w:val="5"/>
        <w:rPr>
          <w:rFonts w:cs="Arial"/>
          <w:lang w:eastAsia="ja-JP"/>
        </w:rPr>
      </w:pPr>
      <w:r>
        <w:rPr>
          <w:lang w:eastAsia="ja-JP"/>
        </w:rPr>
        <w:t>2.6.2</w:t>
      </w:r>
      <w:r>
        <w:rPr>
          <w:lang w:eastAsia="ja-JP"/>
        </w:rPr>
        <w:tab/>
      </w:r>
      <w:r>
        <w:rPr>
          <w:lang w:eastAsia="ja-JP"/>
        </w:rPr>
        <w:t>Remaining Open issues</w:t>
      </w:r>
    </w:p>
    <w:p w14:paraId="6215DDA4">
      <w:pPr>
        <w:pStyle w:val="3"/>
      </w:pPr>
      <w:r>
        <w:t>3.</w:t>
      </w:r>
      <w:r>
        <w:tab/>
      </w:r>
      <w:r>
        <w:t>Detailed progress in SA/CT WGs since last TSG meeting (for all involved WGs)</w:t>
      </w:r>
    </w:p>
    <w:p w14:paraId="777F2AB7">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EE05D2D">
      <w:pPr>
        <w:pStyle w:val="3"/>
        <w:rPr>
          <w:lang w:eastAsia="ja-JP"/>
        </w:rPr>
      </w:pPr>
      <w:r>
        <w:rPr>
          <w:lang w:eastAsia="ja-JP"/>
        </w:rPr>
        <w:t>3.1</w:t>
      </w:r>
      <w:r>
        <w:rPr>
          <w:lang w:eastAsia="ja-JP"/>
        </w:rPr>
        <w:tab/>
      </w:r>
      <w:r>
        <w:rPr>
          <w:lang w:eastAsia="ja-JP"/>
        </w:rPr>
        <w:t>SAx/CTs</w:t>
      </w:r>
    </w:p>
    <w:p w14:paraId="6031B42B">
      <w:pPr>
        <w:pStyle w:val="5"/>
        <w:rPr>
          <w:lang w:eastAsia="ja-JP"/>
        </w:rPr>
      </w:pPr>
      <w:r>
        <w:rPr>
          <w:lang w:eastAsia="ja-JP"/>
        </w:rPr>
        <w:t>3.1.1</w:t>
      </w:r>
      <w:r>
        <w:rPr>
          <w:lang w:eastAsia="ja-JP"/>
        </w:rPr>
        <w:tab/>
      </w:r>
      <w:r>
        <w:rPr>
          <w:lang w:eastAsia="ja-JP"/>
        </w:rPr>
        <w:t>Agreements with cross-TSG impacts</w:t>
      </w:r>
    </w:p>
    <w:p w14:paraId="26894703">
      <w:pPr>
        <w:pStyle w:val="5"/>
        <w:rPr>
          <w:lang w:eastAsia="ja-JP"/>
        </w:rPr>
      </w:pPr>
      <w:r>
        <w:rPr>
          <w:lang w:eastAsia="ja-JP"/>
        </w:rPr>
        <w:t>3.1.2</w:t>
      </w:r>
      <w:r>
        <w:rPr>
          <w:lang w:eastAsia="ja-JP"/>
        </w:rPr>
        <w:tab/>
      </w:r>
      <w:r>
        <w:rPr>
          <w:lang w:eastAsia="ja-JP"/>
        </w:rPr>
        <w:t>Remaining Open issues with cross-TSG impacts</w:t>
      </w:r>
    </w:p>
    <w:p w14:paraId="5775F69D">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4135CA83">
      <w:pPr>
        <w:pStyle w:val="3"/>
      </w:pPr>
      <w:r>
        <w:t>4.</w:t>
      </w:r>
      <w:r>
        <w:tab/>
      </w:r>
      <w:r>
        <w:t>References</w:t>
      </w:r>
    </w:p>
    <w:p w14:paraId="549B1012">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39E2F702">
      <w:pPr>
        <w:overflowPunct/>
        <w:autoSpaceDE/>
        <w:autoSpaceDN/>
        <w:snapToGrid w:val="0"/>
        <w:spacing w:after="0"/>
        <w:textAlignment w:val="auto"/>
        <w:rPr>
          <w:rFonts w:ascii="Arial" w:hAnsi="Arial" w:cs="Arial"/>
          <w:b/>
          <w:bCs/>
          <w:highlight w:val="none"/>
          <w:lang w:eastAsia="ja-JP"/>
        </w:rPr>
      </w:pPr>
    </w:p>
    <w:p w14:paraId="2A8187B1">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14:paraId="58F8137B">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R5-25</w:t>
      </w:r>
      <w:r>
        <w:rPr>
          <w:rFonts w:hint="eastAsia" w:ascii="Arial" w:hAnsi="Arial" w:cs="Arial" w:eastAsiaTheme="minorEastAsia"/>
          <w:highlight w:val="none"/>
          <w:lang w:val="en-US" w:eastAsia="zh-CN"/>
        </w:rPr>
        <w:t>2072</w:t>
      </w:r>
      <w:r>
        <w:rPr>
          <w:rFonts w:ascii="Arial" w:hAnsi="Arial" w:cs="Arial" w:eastAsiaTheme="minorEastAsia"/>
          <w:highlight w:val="none"/>
          <w:lang w:val="en-US"/>
        </w:rPr>
        <w:t xml:space="preserve"> </w:t>
      </w:r>
      <w:r>
        <w:rPr>
          <w:rFonts w:hint="eastAsia" w:ascii="Arial" w:hAnsi="Arial" w:cs="Arial" w:eastAsiaTheme="minorEastAsia"/>
          <w:highlight w:val="none"/>
        </w:rPr>
        <w:t>WP Rel-18 IoT NTN enh after RAN#</w:t>
      </w:r>
      <w:bookmarkStart w:id="0" w:name="OLE_LINK2"/>
      <w:r>
        <w:rPr>
          <w:rFonts w:hint="eastAsia" w:ascii="Arial" w:hAnsi="Arial" w:cs="Arial" w:eastAsiaTheme="minorEastAsia"/>
          <w:highlight w:val="none"/>
        </w:rPr>
        <w:t>10</w:t>
      </w:r>
      <w:r>
        <w:rPr>
          <w:rFonts w:hint="eastAsia" w:ascii="Arial" w:hAnsi="Arial" w:cs="Arial" w:eastAsiaTheme="minorEastAsia"/>
          <w:highlight w:val="none"/>
          <w:lang w:val="en-US" w:eastAsia="zh-CN"/>
        </w:rPr>
        <w:t>7</w:t>
      </w:r>
      <w:bookmarkEnd w:id="0"/>
      <w:r>
        <w:rPr>
          <w:rFonts w:hint="eastAsia" w:ascii="Arial" w:hAnsi="Arial" w:cs="Arial" w:eastAsiaTheme="minorEastAsia"/>
          <w:highlight w:val="none"/>
        </w:rPr>
        <w:t>, CMCC</w:t>
      </w:r>
    </w:p>
    <w:p w14:paraId="45CB4175">
      <w:pPr>
        <w:numPr>
          <w:ilvl w:val="0"/>
          <w:numId w:val="6"/>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R5-252120</w:t>
      </w:r>
      <w:r>
        <w:rPr>
          <w:rFonts w:hint="eastAsia" w:ascii="Arial" w:hAnsi="Arial" w:cs="Arial" w:eastAsiaTheme="minorEastAsia"/>
          <w:highlight w:val="none"/>
          <w:lang w:val="en-US" w:eastAsia="zh-CN"/>
        </w:rPr>
        <w:t xml:space="preserve"> Discussions on IoT NTN new RRM TCs, Mediatek Inc., Keysight Technologies UK Ltd, Thales</w:t>
      </w:r>
    </w:p>
    <w:p w14:paraId="3D34AF74">
      <w:pPr>
        <w:overflowPunct/>
        <w:autoSpaceDE/>
        <w:autoSpaceDN/>
        <w:snapToGrid w:val="0"/>
        <w:spacing w:after="0"/>
        <w:textAlignment w:val="auto"/>
        <w:rPr>
          <w:rFonts w:ascii="Arial" w:hAnsi="Arial" w:eastAsia="宋体" w:cs="Arial"/>
          <w:b/>
          <w:highlight w:val="none"/>
        </w:rPr>
      </w:pPr>
    </w:p>
    <w:p w14:paraId="6895EF6B">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08</w:t>
      </w:r>
      <w:r>
        <w:rPr>
          <w:rFonts w:hint="eastAsia" w:ascii="Arial" w:hAnsi="Arial" w:eastAsia="宋体" w:cs="Arial"/>
          <w:b/>
          <w:highlight w:val="none"/>
        </w:rPr>
        <w:t xml:space="preserve"> CRs</w:t>
      </w:r>
    </w:p>
    <w:p w14:paraId="1D2E554C">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R5-253649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SIB33 for IoT NTN new RRM TCs, </w:t>
      </w:r>
      <w:r>
        <w:rPr>
          <w:rFonts w:hint="eastAsia" w:ascii="Arial" w:hAnsi="Arial" w:cs="Arial" w:eastAsiaTheme="minorEastAsia"/>
          <w:highlight w:val="none"/>
          <w:lang w:val="en-US" w:eastAsia="zh-CN"/>
        </w:rPr>
        <w:t>Mediatek India Technology Pvt.</w:t>
      </w:r>
    </w:p>
    <w:p w14:paraId="1EF7D0D9">
      <w:pPr>
        <w:numPr>
          <w:ilvl w:val="0"/>
          <w:numId w:val="0"/>
        </w:numPr>
        <w:tabs>
          <w:tab w:val="left" w:pos="567"/>
        </w:tabs>
        <w:overflowPunct/>
        <w:autoSpaceDE/>
        <w:autoSpaceDN/>
        <w:adjustRightInd w:val="0"/>
        <w:snapToGrid w:val="0"/>
        <w:spacing w:after="0"/>
        <w:textAlignment w:val="auto"/>
        <w:rPr>
          <w:rFonts w:ascii="Arial" w:hAnsi="Arial" w:eastAsia="宋体" w:cs="Arial"/>
          <w:b/>
          <w:highlight w:val="yellow"/>
        </w:rPr>
      </w:pPr>
    </w:p>
    <w:p w14:paraId="0BEF36B8">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w:t>
      </w:r>
      <w:r>
        <w:rPr>
          <w:rFonts w:hint="eastAsia" w:ascii="Arial" w:hAnsi="Arial" w:eastAsia="宋体" w:cs="Arial"/>
          <w:b/>
          <w:highlight w:val="none"/>
          <w:lang w:val="en-US" w:eastAsia="zh-CN"/>
        </w:rPr>
        <w:t>903</w:t>
      </w:r>
      <w:r>
        <w:rPr>
          <w:rFonts w:hint="eastAsia" w:ascii="Arial" w:hAnsi="Arial" w:eastAsia="宋体" w:cs="Arial"/>
          <w:b/>
          <w:highlight w:val="none"/>
        </w:rPr>
        <w:t xml:space="preserve"> CRs</w:t>
      </w:r>
    </w:p>
    <w:p w14:paraId="20E83E34">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R5-251829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TT ANA for test case 13.3.1.3 for NB IoT NTN, </w:t>
      </w:r>
      <w:r>
        <w:rPr>
          <w:rFonts w:hint="eastAsia" w:ascii="Arial" w:hAnsi="Arial" w:cs="Arial" w:eastAsiaTheme="minorEastAsia"/>
          <w:highlight w:val="none"/>
          <w:lang w:val="en-US" w:eastAsia="zh-CN"/>
        </w:rPr>
        <w:t>MediaTek USA</w:t>
      </w:r>
    </w:p>
    <w:p w14:paraId="453D0432">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R5-252124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TT analysis for IoT NTN 13.1.1.4, </w:t>
      </w:r>
      <w:r>
        <w:rPr>
          <w:rFonts w:hint="eastAsia" w:ascii="Arial" w:hAnsi="Arial" w:cs="Arial" w:eastAsiaTheme="minorEastAsia"/>
          <w:highlight w:val="none"/>
          <w:lang w:val="en-US" w:eastAsia="zh-CN"/>
        </w:rPr>
        <w:t>Mediatek India Technology Pvt.</w:t>
      </w:r>
    </w:p>
    <w:p w14:paraId="5BA86578">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R5-253485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TT analysis for IoT NTN 13.1.1.6, </w:t>
      </w:r>
      <w:r>
        <w:rPr>
          <w:rFonts w:hint="eastAsia" w:ascii="Arial" w:hAnsi="Arial" w:cs="Arial" w:eastAsiaTheme="minorEastAsia"/>
          <w:highlight w:val="none"/>
          <w:lang w:val="en-US" w:eastAsia="zh-CN"/>
        </w:rPr>
        <w:t>Mediatek India Technology Pvt.</w:t>
      </w:r>
    </w:p>
    <w:p w14:paraId="7E9BB13E">
      <w:pPr>
        <w:overflowPunct/>
        <w:autoSpaceDE/>
        <w:autoSpaceDN/>
        <w:snapToGrid w:val="0"/>
        <w:spacing w:after="0"/>
        <w:textAlignment w:val="auto"/>
        <w:rPr>
          <w:rFonts w:hint="eastAsia" w:ascii="Arial" w:hAnsi="Arial" w:eastAsia="宋体" w:cs="Arial"/>
          <w:b/>
          <w:highlight w:val="yellow"/>
        </w:rPr>
      </w:pPr>
    </w:p>
    <w:p w14:paraId="57A1F625">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default" w:ascii="Arial" w:hAnsi="Arial" w:eastAsia="宋体" w:cs="Arial"/>
          <w:b/>
          <w:highlight w:val="none"/>
          <w:lang w:val="en-US" w:eastAsia="zh-CN"/>
        </w:rPr>
        <w:t>21-3</w:t>
      </w:r>
      <w:r>
        <w:rPr>
          <w:rFonts w:hint="eastAsia" w:ascii="Arial" w:hAnsi="Arial" w:eastAsia="宋体" w:cs="Arial"/>
          <w:b/>
          <w:highlight w:val="none"/>
        </w:rPr>
        <w:t xml:space="preserve"> CRs</w:t>
      </w:r>
    </w:p>
    <w:p w14:paraId="6A88CA56">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R5-251828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Editor notes and Add TT analysis result to NB-IoT ReEST test cases : 13.3.1.3, </w:t>
      </w:r>
      <w:r>
        <w:rPr>
          <w:rFonts w:hint="eastAsia" w:ascii="Arial" w:hAnsi="Arial" w:cs="Arial" w:eastAsiaTheme="minorEastAsia"/>
          <w:highlight w:val="none"/>
          <w:lang w:val="en-US" w:eastAsia="zh-CN"/>
        </w:rPr>
        <w:t>MediaTek USA</w:t>
      </w:r>
    </w:p>
    <w:p w14:paraId="2C30DC01">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R5-253600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test description of IoT NTN enh RRM TC 13.5.3, </w:t>
      </w:r>
      <w:r>
        <w:rPr>
          <w:rFonts w:hint="eastAsia" w:ascii="Arial" w:hAnsi="Arial" w:cs="Arial" w:eastAsiaTheme="minorEastAsia"/>
          <w:highlight w:val="none"/>
          <w:lang w:val="en-US" w:eastAsia="zh-CN"/>
        </w:rPr>
        <w:t>CMCC, MediaTek</w:t>
      </w:r>
    </w:p>
    <w:p w14:paraId="0BC50943">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R5-253479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to IoT NTN enh multi cell TCs, </w:t>
      </w:r>
      <w:r>
        <w:rPr>
          <w:rFonts w:hint="eastAsia" w:ascii="Arial" w:hAnsi="Arial" w:cs="Arial" w:eastAsiaTheme="minorEastAsia"/>
          <w:highlight w:val="none"/>
          <w:lang w:val="en-US" w:eastAsia="zh-CN"/>
        </w:rPr>
        <w:t>Mediatek India Technology Pvt.</w:t>
      </w:r>
    </w:p>
    <w:p w14:paraId="207585EC">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R5-253484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Annex E for Iot NTN enh new TCs, </w:t>
      </w:r>
      <w:r>
        <w:rPr>
          <w:rFonts w:hint="eastAsia" w:ascii="Arial" w:hAnsi="Arial" w:cs="Arial" w:eastAsiaTheme="minorEastAsia"/>
          <w:highlight w:val="none"/>
          <w:lang w:val="en-US" w:eastAsia="zh-CN"/>
        </w:rPr>
        <w:t>Mediatek India Technology Pvt.</w:t>
      </w:r>
    </w:p>
    <w:p w14:paraId="0EEC0BC7">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R5-252126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Update Annex F for IoT NTN enh TCs based on MUTT analysis, </w:t>
      </w:r>
      <w:r>
        <w:rPr>
          <w:rFonts w:hint="eastAsia" w:ascii="Arial" w:hAnsi="Arial" w:cs="Arial" w:eastAsiaTheme="minorEastAsia"/>
          <w:highlight w:val="none"/>
          <w:lang w:val="en-US" w:eastAsia="zh-CN"/>
        </w:rPr>
        <w:t>Mediatek India Technology Pvt.</w:t>
      </w:r>
    </w:p>
    <w:p w14:paraId="369C9CD4">
      <w:pPr>
        <w:numPr>
          <w:ilvl w:val="0"/>
          <w:numId w:val="0"/>
        </w:numPr>
        <w:tabs>
          <w:tab w:val="left" w:pos="567"/>
        </w:tabs>
        <w:overflowPunct/>
        <w:autoSpaceDE/>
        <w:autoSpaceDN/>
        <w:snapToGrid w:val="0"/>
        <w:spacing w:after="0"/>
        <w:textAlignment w:val="auto"/>
        <w:rPr>
          <w:rFonts w:ascii="Arial" w:hAnsi="Arial" w:eastAsia="宋体" w:cs="Arial"/>
          <w:b/>
          <w:highlight w:val="yellow"/>
        </w:rPr>
      </w:pPr>
    </w:p>
    <w:p w14:paraId="46D3DE3C">
      <w:pPr>
        <w:tabs>
          <w:tab w:val="left" w:pos="567"/>
        </w:tabs>
        <w:overflowPunct/>
        <w:autoSpaceDE/>
        <w:autoSpaceDN/>
        <w:snapToGrid w:val="0"/>
        <w:spacing w:after="0"/>
        <w:textAlignment w:val="auto"/>
        <w:rPr>
          <w:rFonts w:ascii="Arial" w:hAnsi="Arial" w:eastAsia="等线" w:cs="Arial"/>
          <w:bCs/>
          <w:highlight w:val="yellow"/>
        </w:rPr>
      </w:pPr>
    </w:p>
    <w:p w14:paraId="7A47A78F">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16232D29">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145FD41">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5BED1C2D">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6861732D">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6E872521">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6C7260A4">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3B3352C2">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569F9792">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3CAD28AC">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631B59DD">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E96B5A5">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03F962B">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3BDC627">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0648EE5">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0D19EBD">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357983E6">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1AFC3145">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0F171408">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6805D08B">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68E11396">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349D2092">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08DFBE5">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8C33BE">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BF6D3D"/>
    <w:multiLevelType w:val="singleLevel"/>
    <w:tmpl w:val="93BF6D3D"/>
    <w:lvl w:ilvl="0" w:tentative="0">
      <w:start w:val="1"/>
      <w:numFmt w:val="decimal"/>
      <w:lvlText w:val="[%1]"/>
      <w:lvlJc w:val="left"/>
      <w:rPr>
        <w:b w:val="0"/>
      </w:rPr>
    </w:lvl>
  </w:abstractNum>
  <w:abstractNum w:abstractNumId="1">
    <w:nsid w:val="BBB2A7C3"/>
    <w:multiLevelType w:val="singleLevel"/>
    <w:tmpl w:val="BBB2A7C3"/>
    <w:lvl w:ilvl="0" w:tentative="0">
      <w:start w:val="1"/>
      <w:numFmt w:val="decimal"/>
      <w:lvlText w:val="[%1]"/>
      <w:lvlJc w:val="left"/>
      <w:rPr>
        <w:b w:val="0"/>
      </w:rPr>
    </w:lvl>
  </w:abstractNum>
  <w:abstractNum w:abstractNumId="2">
    <w:nsid w:val="F4963FA0"/>
    <w:multiLevelType w:val="singleLevel"/>
    <w:tmpl w:val="F4963FA0"/>
    <w:lvl w:ilvl="0" w:tentative="0">
      <w:start w:val="1"/>
      <w:numFmt w:val="decimal"/>
      <w:lvlText w:val="[%1]"/>
      <w:lvlJc w:val="left"/>
      <w:rPr>
        <w:b w:val="0"/>
      </w:rPr>
    </w:lvl>
  </w:abstractNum>
  <w:abstractNum w:abstractNumId="3">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4">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5">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614024BA"/>
    <w:multiLevelType w:val="singleLevel"/>
    <w:tmpl w:val="614024BA"/>
    <w:lvl w:ilvl="0" w:tentative="0">
      <w:start w:val="1"/>
      <w:numFmt w:val="decimal"/>
      <w:lvlText w:val="[%1]"/>
      <w:lvlJc w:val="left"/>
      <w:rPr>
        <w:b w:val="0"/>
      </w:rPr>
    </w:lvl>
  </w:abstractNum>
  <w:abstractNum w:abstractNumId="7">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8">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4"/>
  </w:num>
  <w:num w:numId="3">
    <w:abstractNumId w:val="8"/>
  </w:num>
  <w:num w:numId="4">
    <w:abstractNumId w:val="3"/>
  </w:num>
  <w:num w:numId="5">
    <w:abstractNumId w:val="5"/>
  </w:num>
  <w:num w:numId="6">
    <w:abstractNumId w:val="6"/>
  </w:num>
  <w:num w:numId="7">
    <w:abstractNumId w:val="1"/>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2C0230D"/>
    <w:rsid w:val="02C32877"/>
    <w:rsid w:val="032C5770"/>
    <w:rsid w:val="0352627C"/>
    <w:rsid w:val="03FC0C17"/>
    <w:rsid w:val="04137C88"/>
    <w:rsid w:val="043750F8"/>
    <w:rsid w:val="045042DE"/>
    <w:rsid w:val="046F64A5"/>
    <w:rsid w:val="04B02D72"/>
    <w:rsid w:val="06400C05"/>
    <w:rsid w:val="06C62B3E"/>
    <w:rsid w:val="06F905BE"/>
    <w:rsid w:val="071568AB"/>
    <w:rsid w:val="0745663A"/>
    <w:rsid w:val="07683368"/>
    <w:rsid w:val="0867547F"/>
    <w:rsid w:val="08AF5136"/>
    <w:rsid w:val="08B5289D"/>
    <w:rsid w:val="08B909EB"/>
    <w:rsid w:val="08C0303F"/>
    <w:rsid w:val="08C2402C"/>
    <w:rsid w:val="08C80E85"/>
    <w:rsid w:val="08CA4C78"/>
    <w:rsid w:val="08EB1C1E"/>
    <w:rsid w:val="08F73AFF"/>
    <w:rsid w:val="09070455"/>
    <w:rsid w:val="095E54EB"/>
    <w:rsid w:val="099573CD"/>
    <w:rsid w:val="0A294D91"/>
    <w:rsid w:val="0A821DCB"/>
    <w:rsid w:val="0A934B7D"/>
    <w:rsid w:val="0AB16165"/>
    <w:rsid w:val="0ADC0554"/>
    <w:rsid w:val="0AEC1FBC"/>
    <w:rsid w:val="0B003098"/>
    <w:rsid w:val="0B156DBB"/>
    <w:rsid w:val="0B607920"/>
    <w:rsid w:val="0B7A1DBA"/>
    <w:rsid w:val="0B875DF5"/>
    <w:rsid w:val="0B884F67"/>
    <w:rsid w:val="0B8C18E5"/>
    <w:rsid w:val="0BD93F8C"/>
    <w:rsid w:val="0C2027E9"/>
    <w:rsid w:val="0C4247A1"/>
    <w:rsid w:val="0C437935"/>
    <w:rsid w:val="0C52731B"/>
    <w:rsid w:val="0CC143A0"/>
    <w:rsid w:val="0CC258AA"/>
    <w:rsid w:val="0CCE7DF8"/>
    <w:rsid w:val="0D4F1A3A"/>
    <w:rsid w:val="0D5438EE"/>
    <w:rsid w:val="0D6301B6"/>
    <w:rsid w:val="0D826AA0"/>
    <w:rsid w:val="0DDB6ECB"/>
    <w:rsid w:val="0DDD0F23"/>
    <w:rsid w:val="0E041CB4"/>
    <w:rsid w:val="0E050F30"/>
    <w:rsid w:val="0E135567"/>
    <w:rsid w:val="0F5446EB"/>
    <w:rsid w:val="0F9868D5"/>
    <w:rsid w:val="0FF04A80"/>
    <w:rsid w:val="10211C2E"/>
    <w:rsid w:val="108D73EF"/>
    <w:rsid w:val="10B506EB"/>
    <w:rsid w:val="10B73E46"/>
    <w:rsid w:val="10F52B6E"/>
    <w:rsid w:val="11614015"/>
    <w:rsid w:val="11B11ADC"/>
    <w:rsid w:val="11B6439C"/>
    <w:rsid w:val="12230FDF"/>
    <w:rsid w:val="123371E8"/>
    <w:rsid w:val="124A03ED"/>
    <w:rsid w:val="129D59D4"/>
    <w:rsid w:val="12A922D2"/>
    <w:rsid w:val="12B22511"/>
    <w:rsid w:val="12EB6ADC"/>
    <w:rsid w:val="133A2C0E"/>
    <w:rsid w:val="13A9004F"/>
    <w:rsid w:val="13C244F2"/>
    <w:rsid w:val="13CE4A0B"/>
    <w:rsid w:val="13CE75C4"/>
    <w:rsid w:val="140E52AD"/>
    <w:rsid w:val="143603B6"/>
    <w:rsid w:val="14B4509C"/>
    <w:rsid w:val="151644D5"/>
    <w:rsid w:val="15324AB7"/>
    <w:rsid w:val="157E4282"/>
    <w:rsid w:val="15FC081A"/>
    <w:rsid w:val="160C3730"/>
    <w:rsid w:val="16182EEA"/>
    <w:rsid w:val="17126D66"/>
    <w:rsid w:val="171666D4"/>
    <w:rsid w:val="178E592D"/>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5192E"/>
    <w:rsid w:val="1B687D51"/>
    <w:rsid w:val="1BBD199E"/>
    <w:rsid w:val="1BCB61E8"/>
    <w:rsid w:val="1BEE16E9"/>
    <w:rsid w:val="1C6542B2"/>
    <w:rsid w:val="1C6A4BF8"/>
    <w:rsid w:val="1D1D3289"/>
    <w:rsid w:val="1DB22A9C"/>
    <w:rsid w:val="1E1F7909"/>
    <w:rsid w:val="1E2106D1"/>
    <w:rsid w:val="1E7D2085"/>
    <w:rsid w:val="1E8D1AAC"/>
    <w:rsid w:val="1EBE6975"/>
    <w:rsid w:val="1F402642"/>
    <w:rsid w:val="1F646F04"/>
    <w:rsid w:val="1F96173A"/>
    <w:rsid w:val="1F9D0E06"/>
    <w:rsid w:val="1FBD1ABA"/>
    <w:rsid w:val="1FD55AE8"/>
    <w:rsid w:val="209D5060"/>
    <w:rsid w:val="20B77F6E"/>
    <w:rsid w:val="20CB2FF0"/>
    <w:rsid w:val="20E950C5"/>
    <w:rsid w:val="21344B4A"/>
    <w:rsid w:val="213E2789"/>
    <w:rsid w:val="21AC235B"/>
    <w:rsid w:val="21D32B8D"/>
    <w:rsid w:val="21E8531A"/>
    <w:rsid w:val="21F962B2"/>
    <w:rsid w:val="22643C1C"/>
    <w:rsid w:val="22735549"/>
    <w:rsid w:val="22FC06E3"/>
    <w:rsid w:val="23BF6EB5"/>
    <w:rsid w:val="24057FFB"/>
    <w:rsid w:val="24140B3E"/>
    <w:rsid w:val="24BC4FF9"/>
    <w:rsid w:val="250C562F"/>
    <w:rsid w:val="259957EC"/>
    <w:rsid w:val="25E22486"/>
    <w:rsid w:val="260B6710"/>
    <w:rsid w:val="26A42548"/>
    <w:rsid w:val="26D9199B"/>
    <w:rsid w:val="272B7C0B"/>
    <w:rsid w:val="27452B8C"/>
    <w:rsid w:val="275A7663"/>
    <w:rsid w:val="276A1428"/>
    <w:rsid w:val="279B7C00"/>
    <w:rsid w:val="279C4099"/>
    <w:rsid w:val="280837ED"/>
    <w:rsid w:val="2875561C"/>
    <w:rsid w:val="289A71A7"/>
    <w:rsid w:val="28AA18F8"/>
    <w:rsid w:val="29082BE0"/>
    <w:rsid w:val="29083E60"/>
    <w:rsid w:val="290950B0"/>
    <w:rsid w:val="29B63A0A"/>
    <w:rsid w:val="2A155221"/>
    <w:rsid w:val="2A1D1B25"/>
    <w:rsid w:val="2AA3517C"/>
    <w:rsid w:val="2AEF25C6"/>
    <w:rsid w:val="2AF54C38"/>
    <w:rsid w:val="2B025C05"/>
    <w:rsid w:val="2B0262B8"/>
    <w:rsid w:val="2B3C17C0"/>
    <w:rsid w:val="2B615761"/>
    <w:rsid w:val="2C0E308C"/>
    <w:rsid w:val="2CEA3B3F"/>
    <w:rsid w:val="2D102550"/>
    <w:rsid w:val="2D171859"/>
    <w:rsid w:val="2E2C3250"/>
    <w:rsid w:val="2ED83DA6"/>
    <w:rsid w:val="2EF06FB2"/>
    <w:rsid w:val="2EF30C78"/>
    <w:rsid w:val="2F16434A"/>
    <w:rsid w:val="2F564135"/>
    <w:rsid w:val="2F7169E1"/>
    <w:rsid w:val="2F7E02C0"/>
    <w:rsid w:val="2F89581B"/>
    <w:rsid w:val="2FAA10E6"/>
    <w:rsid w:val="2FB61D03"/>
    <w:rsid w:val="2FBD3F29"/>
    <w:rsid w:val="2FE12433"/>
    <w:rsid w:val="303C7BDB"/>
    <w:rsid w:val="309E06A4"/>
    <w:rsid w:val="30AA70B7"/>
    <w:rsid w:val="30BF083E"/>
    <w:rsid w:val="3133550A"/>
    <w:rsid w:val="314A536E"/>
    <w:rsid w:val="316F7BD4"/>
    <w:rsid w:val="31EA6791"/>
    <w:rsid w:val="32292413"/>
    <w:rsid w:val="329E5240"/>
    <w:rsid w:val="32B75B6C"/>
    <w:rsid w:val="32E33A83"/>
    <w:rsid w:val="330D41AD"/>
    <w:rsid w:val="338038AE"/>
    <w:rsid w:val="34713B2D"/>
    <w:rsid w:val="3488303F"/>
    <w:rsid w:val="34C21990"/>
    <w:rsid w:val="350B369B"/>
    <w:rsid w:val="355E3164"/>
    <w:rsid w:val="359E14C1"/>
    <w:rsid w:val="360A789F"/>
    <w:rsid w:val="362430B9"/>
    <w:rsid w:val="365F2F17"/>
    <w:rsid w:val="366B44A8"/>
    <w:rsid w:val="366C1F64"/>
    <w:rsid w:val="37192BB2"/>
    <w:rsid w:val="373C08B3"/>
    <w:rsid w:val="37EA3B2C"/>
    <w:rsid w:val="37EB73B1"/>
    <w:rsid w:val="37FD0684"/>
    <w:rsid w:val="38E31861"/>
    <w:rsid w:val="39FB4108"/>
    <w:rsid w:val="3B06367F"/>
    <w:rsid w:val="3B4E19A8"/>
    <w:rsid w:val="3B7518FD"/>
    <w:rsid w:val="3BBD2E75"/>
    <w:rsid w:val="3BD7776B"/>
    <w:rsid w:val="3C1267DA"/>
    <w:rsid w:val="3C505FF8"/>
    <w:rsid w:val="3DAB3692"/>
    <w:rsid w:val="3E051C88"/>
    <w:rsid w:val="3E534E6F"/>
    <w:rsid w:val="3E5C622D"/>
    <w:rsid w:val="3E9726BC"/>
    <w:rsid w:val="3EBD5DA9"/>
    <w:rsid w:val="3ECC4BE8"/>
    <w:rsid w:val="3F3D2383"/>
    <w:rsid w:val="3F816D84"/>
    <w:rsid w:val="3F8F6D22"/>
    <w:rsid w:val="40192383"/>
    <w:rsid w:val="402F1A51"/>
    <w:rsid w:val="4041787C"/>
    <w:rsid w:val="4056719A"/>
    <w:rsid w:val="40701492"/>
    <w:rsid w:val="40CC38EA"/>
    <w:rsid w:val="41181B2B"/>
    <w:rsid w:val="418F3A1F"/>
    <w:rsid w:val="41963733"/>
    <w:rsid w:val="41CB71AA"/>
    <w:rsid w:val="421F2EEA"/>
    <w:rsid w:val="42BF1D1A"/>
    <w:rsid w:val="42D52692"/>
    <w:rsid w:val="42FC2DBB"/>
    <w:rsid w:val="439919BD"/>
    <w:rsid w:val="43B1111A"/>
    <w:rsid w:val="441E0FD5"/>
    <w:rsid w:val="44404107"/>
    <w:rsid w:val="447D6A17"/>
    <w:rsid w:val="449D7185"/>
    <w:rsid w:val="454A4C88"/>
    <w:rsid w:val="45937E73"/>
    <w:rsid w:val="45AE7D7B"/>
    <w:rsid w:val="46186BB2"/>
    <w:rsid w:val="463251D1"/>
    <w:rsid w:val="46D41D51"/>
    <w:rsid w:val="47626028"/>
    <w:rsid w:val="478D5278"/>
    <w:rsid w:val="47D74267"/>
    <w:rsid w:val="486E2258"/>
    <w:rsid w:val="48811037"/>
    <w:rsid w:val="48886A9B"/>
    <w:rsid w:val="48AA199B"/>
    <w:rsid w:val="48CE65F4"/>
    <w:rsid w:val="490B77B8"/>
    <w:rsid w:val="492A3986"/>
    <w:rsid w:val="49956E69"/>
    <w:rsid w:val="49FE24F4"/>
    <w:rsid w:val="4A016A84"/>
    <w:rsid w:val="4A117E90"/>
    <w:rsid w:val="4A1E3DC9"/>
    <w:rsid w:val="4A8D46AB"/>
    <w:rsid w:val="4AB56D9A"/>
    <w:rsid w:val="4B0F7224"/>
    <w:rsid w:val="4C6E4F06"/>
    <w:rsid w:val="4D21764B"/>
    <w:rsid w:val="4D2C1231"/>
    <w:rsid w:val="4D4C735D"/>
    <w:rsid w:val="4DAE1980"/>
    <w:rsid w:val="4E1D1C34"/>
    <w:rsid w:val="4E422279"/>
    <w:rsid w:val="4E5530CC"/>
    <w:rsid w:val="4E8D380A"/>
    <w:rsid w:val="4EFD25E7"/>
    <w:rsid w:val="4F247B69"/>
    <w:rsid w:val="4F515FA8"/>
    <w:rsid w:val="4F977586"/>
    <w:rsid w:val="4FB12248"/>
    <w:rsid w:val="4FBF6DE2"/>
    <w:rsid w:val="506811F0"/>
    <w:rsid w:val="50E44BFB"/>
    <w:rsid w:val="51323E6D"/>
    <w:rsid w:val="5172486F"/>
    <w:rsid w:val="517331D1"/>
    <w:rsid w:val="518E6791"/>
    <w:rsid w:val="51BD5B05"/>
    <w:rsid w:val="51CD0DAD"/>
    <w:rsid w:val="51CF6D46"/>
    <w:rsid w:val="51EB2461"/>
    <w:rsid w:val="51FF10C0"/>
    <w:rsid w:val="527E4CA8"/>
    <w:rsid w:val="53247EF5"/>
    <w:rsid w:val="53464556"/>
    <w:rsid w:val="53A51416"/>
    <w:rsid w:val="53D71BAD"/>
    <w:rsid w:val="540E6C5A"/>
    <w:rsid w:val="546612C0"/>
    <w:rsid w:val="54A74EB5"/>
    <w:rsid w:val="54C9170D"/>
    <w:rsid w:val="54DA0AD6"/>
    <w:rsid w:val="551E4420"/>
    <w:rsid w:val="55DF79A7"/>
    <w:rsid w:val="564E5D25"/>
    <w:rsid w:val="56634B44"/>
    <w:rsid w:val="56931BEC"/>
    <w:rsid w:val="56CE6A8E"/>
    <w:rsid w:val="570023F4"/>
    <w:rsid w:val="57740818"/>
    <w:rsid w:val="57DA62B0"/>
    <w:rsid w:val="585C368D"/>
    <w:rsid w:val="58CF3F40"/>
    <w:rsid w:val="58DF5C23"/>
    <w:rsid w:val="594921E0"/>
    <w:rsid w:val="595371D3"/>
    <w:rsid w:val="59AA2AE2"/>
    <w:rsid w:val="59C23FFD"/>
    <w:rsid w:val="5A0E3BCE"/>
    <w:rsid w:val="5A466BC8"/>
    <w:rsid w:val="5A615BD7"/>
    <w:rsid w:val="5A724FD4"/>
    <w:rsid w:val="5A812888"/>
    <w:rsid w:val="5A81521A"/>
    <w:rsid w:val="5A85323A"/>
    <w:rsid w:val="5ACC0548"/>
    <w:rsid w:val="5B1F3A0B"/>
    <w:rsid w:val="5B6D2BA3"/>
    <w:rsid w:val="5B980404"/>
    <w:rsid w:val="5BDB61ED"/>
    <w:rsid w:val="5C147E54"/>
    <w:rsid w:val="5CAD2F36"/>
    <w:rsid w:val="5D2D156D"/>
    <w:rsid w:val="5E8250F4"/>
    <w:rsid w:val="5E8A00F3"/>
    <w:rsid w:val="5EA178AA"/>
    <w:rsid w:val="5EA615D3"/>
    <w:rsid w:val="5EC82C7F"/>
    <w:rsid w:val="5ECF5A54"/>
    <w:rsid w:val="5EE74938"/>
    <w:rsid w:val="5F0A5107"/>
    <w:rsid w:val="5F267BDE"/>
    <w:rsid w:val="5F455A50"/>
    <w:rsid w:val="6013139C"/>
    <w:rsid w:val="60291E96"/>
    <w:rsid w:val="607C0519"/>
    <w:rsid w:val="609676C4"/>
    <w:rsid w:val="60AF33AD"/>
    <w:rsid w:val="61204966"/>
    <w:rsid w:val="61AA714A"/>
    <w:rsid w:val="61C12377"/>
    <w:rsid w:val="61CF1286"/>
    <w:rsid w:val="61F86BC7"/>
    <w:rsid w:val="620A5BE8"/>
    <w:rsid w:val="6297146B"/>
    <w:rsid w:val="62AE701F"/>
    <w:rsid w:val="62B07544"/>
    <w:rsid w:val="62DD7AB0"/>
    <w:rsid w:val="6305695F"/>
    <w:rsid w:val="63092CDD"/>
    <w:rsid w:val="63501A48"/>
    <w:rsid w:val="63D53A18"/>
    <w:rsid w:val="63EC1DBB"/>
    <w:rsid w:val="64A261C1"/>
    <w:rsid w:val="64D54BF8"/>
    <w:rsid w:val="6591353A"/>
    <w:rsid w:val="65B958B8"/>
    <w:rsid w:val="65DB6AA5"/>
    <w:rsid w:val="65DB6F70"/>
    <w:rsid w:val="661E3257"/>
    <w:rsid w:val="66383744"/>
    <w:rsid w:val="664916BB"/>
    <w:rsid w:val="666146B1"/>
    <w:rsid w:val="66A45FF8"/>
    <w:rsid w:val="66C73D7A"/>
    <w:rsid w:val="676D3EBB"/>
    <w:rsid w:val="67757D2D"/>
    <w:rsid w:val="67B963F3"/>
    <w:rsid w:val="67BE2432"/>
    <w:rsid w:val="67CD70C1"/>
    <w:rsid w:val="685A2E59"/>
    <w:rsid w:val="68D47CD7"/>
    <w:rsid w:val="68F2010F"/>
    <w:rsid w:val="69471021"/>
    <w:rsid w:val="69806A35"/>
    <w:rsid w:val="6A5D1B30"/>
    <w:rsid w:val="6A7F6611"/>
    <w:rsid w:val="6AA83621"/>
    <w:rsid w:val="6B1B4006"/>
    <w:rsid w:val="6B2B4ABB"/>
    <w:rsid w:val="6BCA0AC3"/>
    <w:rsid w:val="6BF016C9"/>
    <w:rsid w:val="6BF72930"/>
    <w:rsid w:val="6C154805"/>
    <w:rsid w:val="6D5118E8"/>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6584B"/>
    <w:rsid w:val="711E0C0B"/>
    <w:rsid w:val="711F06EC"/>
    <w:rsid w:val="716D30CB"/>
    <w:rsid w:val="718335B1"/>
    <w:rsid w:val="7185070D"/>
    <w:rsid w:val="719256A3"/>
    <w:rsid w:val="71954ADD"/>
    <w:rsid w:val="71A32AFB"/>
    <w:rsid w:val="72132F1B"/>
    <w:rsid w:val="724D391D"/>
    <w:rsid w:val="72667A54"/>
    <w:rsid w:val="7277686B"/>
    <w:rsid w:val="727B7B76"/>
    <w:rsid w:val="731871FF"/>
    <w:rsid w:val="732E0005"/>
    <w:rsid w:val="732F503F"/>
    <w:rsid w:val="73814205"/>
    <w:rsid w:val="73993D9B"/>
    <w:rsid w:val="73B27495"/>
    <w:rsid w:val="73D13601"/>
    <w:rsid w:val="73FB3929"/>
    <w:rsid w:val="749B0403"/>
    <w:rsid w:val="749F2B1B"/>
    <w:rsid w:val="74B2398B"/>
    <w:rsid w:val="74D014A3"/>
    <w:rsid w:val="74FE75C0"/>
    <w:rsid w:val="751226C4"/>
    <w:rsid w:val="753D3C50"/>
    <w:rsid w:val="75BC7C51"/>
    <w:rsid w:val="75F65014"/>
    <w:rsid w:val="75F973DD"/>
    <w:rsid w:val="77042512"/>
    <w:rsid w:val="77B34C9B"/>
    <w:rsid w:val="783933A6"/>
    <w:rsid w:val="791871BB"/>
    <w:rsid w:val="793C6AE9"/>
    <w:rsid w:val="79404263"/>
    <w:rsid w:val="79547966"/>
    <w:rsid w:val="79E91CF9"/>
    <w:rsid w:val="79EB710E"/>
    <w:rsid w:val="7A651673"/>
    <w:rsid w:val="7A79326D"/>
    <w:rsid w:val="7A7E122E"/>
    <w:rsid w:val="7AD97A34"/>
    <w:rsid w:val="7AF37BF2"/>
    <w:rsid w:val="7B0669E6"/>
    <w:rsid w:val="7BEC215B"/>
    <w:rsid w:val="7C7D76F6"/>
    <w:rsid w:val="7CCE1B6A"/>
    <w:rsid w:val="7CD40FB9"/>
    <w:rsid w:val="7D267C0E"/>
    <w:rsid w:val="7DEB0BA7"/>
    <w:rsid w:val="7E013E51"/>
    <w:rsid w:val="7E40707B"/>
    <w:rsid w:val="7EAA13BE"/>
    <w:rsid w:val="7EBC247B"/>
    <w:rsid w:val="7F8B1D4D"/>
    <w:rsid w:val="7FD63D4B"/>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2</Pages>
  <Words>1130</Words>
  <Characters>6445</Characters>
  <Lines>53</Lines>
  <Paragraphs>15</Paragraphs>
  <TotalTime>25</TotalTime>
  <ScaleCrop>false</ScaleCrop>
  <LinksUpToDate>false</LinksUpToDate>
  <CharactersWithSpaces>7560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CMCC-Luyang Zhao</cp:lastModifiedBy>
  <dcterms:modified xsi:type="dcterms:W3CDTF">2025-05-30T02:25:03Z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2052-12.8.2.18205</vt:lpwstr>
  </property>
  <property fmtid="{D5CDD505-2E9C-101B-9397-08002B2CF9AE}" pid="17" name="ICV">
    <vt:lpwstr>E4AA36B9BB504613B79B686E55D76B8D</vt:lpwstr>
  </property>
</Properties>
</file>